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</w:pPr>
      <w:r w:rsidRPr="007176DD"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5C5C10BD" wp14:editId="52FB1AEB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1A5" w:rsidRDefault="005051A5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5051A5" w:rsidRDefault="005051A5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5051A5" w:rsidRDefault="005051A5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5051A5" w:rsidRDefault="005051A5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5051A5" w:rsidRDefault="005051A5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5051A5" w:rsidRDefault="005051A5">
                      <w:pPr>
                        <w:wordWrap w:val="0"/>
                        <w:spacing w:line="136" w:lineRule="exact"/>
                      </w:pPr>
                    </w:p>
                    <w:p w:rsidR="005051A5" w:rsidRDefault="005051A5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5051A5" w:rsidRDefault="005051A5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5051A5" w:rsidRDefault="005051A5">
                      <w:pPr>
                        <w:wordWrap w:val="0"/>
                        <w:spacing w:line="136" w:lineRule="exact"/>
                      </w:pPr>
                    </w:p>
                    <w:p w:rsidR="005051A5" w:rsidRDefault="005051A5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B87A0A" w:rsidRPr="00C0592F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sz w:val="20"/>
        </w:rPr>
      </w:pPr>
      <w:r w:rsidRPr="00C0592F">
        <w:rPr>
          <w:rFonts w:hint="eastAsia"/>
          <w:b/>
          <w:sz w:val="20"/>
        </w:rPr>
        <w:t xml:space="preserve">　　２社以上の連名で申請する場合は、本頁を各社ごとに作成ください。</w:t>
      </w:r>
    </w:p>
    <w:p w:rsidR="0066535C" w:rsidRPr="007176DD" w:rsidRDefault="0066535C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0D25D3" w:rsidRPr="0007377D" w:rsidRDefault="00364B74" w:rsidP="00364B74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1A5" w:rsidRDefault="005051A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5051A5" w:rsidRDefault="005051A5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07377D" w:rsidRDefault="00E7768A" w:rsidP="00E7768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07377D">
        <w:rPr>
          <w:sz w:val="18"/>
          <w:szCs w:val="18"/>
        </w:rPr>
        <w:t>注）奨励賞にご応募の場合に</w:t>
      </w:r>
      <w:r w:rsidR="0000470F" w:rsidRPr="0007377D">
        <w:rPr>
          <w:sz w:val="18"/>
          <w:szCs w:val="18"/>
        </w:rPr>
        <w:t>のみ</w:t>
      </w:r>
      <w:r w:rsidR="00BA3357" w:rsidRPr="005737B9">
        <w:rPr>
          <w:sz w:val="18"/>
          <w:szCs w:val="18"/>
        </w:rPr>
        <w:t>付記</w:t>
      </w:r>
      <w:r w:rsidRPr="0007377D">
        <w:rPr>
          <w:sz w:val="18"/>
          <w:szCs w:val="18"/>
        </w:rPr>
        <w:t>してください。</w:t>
      </w:r>
      <w:r w:rsidRPr="0007377D">
        <w:rPr>
          <w:sz w:val="18"/>
          <w:szCs w:val="18"/>
        </w:rPr>
        <w:t>↑</w:t>
      </w:r>
    </w:p>
    <w:p w:rsidR="00B87A0A" w:rsidRDefault="00F4348B">
      <w:pPr>
        <w:wordWrap w:val="0"/>
        <w:spacing w:line="272" w:lineRule="exact"/>
        <w:jc w:val="right"/>
      </w:pPr>
      <w:r>
        <w:rPr>
          <w:rFonts w:hint="eastAsia"/>
        </w:rPr>
        <w:t xml:space="preserve">　　</w:t>
      </w:r>
      <w:r w:rsidR="00B87A0A">
        <w:rPr>
          <w:rFonts w:hint="eastAsia"/>
        </w:rPr>
        <w:t>年</w:t>
      </w:r>
      <w:r w:rsidR="00B87A0A">
        <w:rPr>
          <w:rFonts w:ascii="ＭＳ 明朝" w:hint="eastAsia"/>
        </w:rPr>
        <w:t xml:space="preserve">   </w:t>
      </w:r>
      <w:r w:rsidR="00B87A0A">
        <w:rPr>
          <w:rFonts w:hint="eastAsia"/>
        </w:rPr>
        <w:t>月</w:t>
      </w:r>
      <w:r w:rsidR="00B87A0A">
        <w:rPr>
          <w:rFonts w:ascii="ＭＳ 明朝" w:hint="eastAsia"/>
        </w:rPr>
        <w:t xml:space="preserve">    </w:t>
      </w:r>
      <w:r w:rsidR="00B87A0A">
        <w:rPr>
          <w:rFonts w:hint="eastAsia"/>
        </w:rPr>
        <w:t>日</w:t>
      </w:r>
    </w:p>
    <w:p w:rsidR="00B87A0A" w:rsidRDefault="001164B8">
      <w:pPr>
        <w:wordWrap w:val="0"/>
        <w:spacing w:line="272" w:lineRule="exact"/>
      </w:pPr>
      <w:r w:rsidRPr="00F608C9">
        <w:rPr>
          <w:rFonts w:hint="eastAsia"/>
        </w:rPr>
        <w:t>一般</w:t>
      </w:r>
      <w:r w:rsidR="005C011A" w:rsidRPr="00AB7AF6">
        <w:rPr>
          <w:rFonts w:hint="eastAsia"/>
          <w:color w:val="000000"/>
        </w:rPr>
        <w:t>社団法人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</w:rPr>
        <w:t>御中</w:t>
      </w:r>
    </w:p>
    <w:p w:rsidR="00B87A0A" w:rsidRDefault="00B87A0A">
      <w:pPr>
        <w:wordWrap w:val="0"/>
        <w:spacing w:line="272" w:lineRule="exact"/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</w:rPr>
              <w:t>、</w:t>
            </w:r>
            <w:r w:rsidR="00765B38"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bookmarkStart w:id="0" w:name="_GoBack"/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bookmarkEnd w:id="0"/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B86770">
              <w:rPr>
                <w:rFonts w:hint="eastAsia"/>
                <w:color w:val="000000"/>
                <w:spacing w:val="-1"/>
              </w:rPr>
              <w:t>役職、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氏名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="00B86770">
              <w:rPr>
                <w:rFonts w:hint="eastAsia"/>
                <w:color w:val="000000"/>
                <w:spacing w:val="-1"/>
              </w:rPr>
              <w:t>住所、</w:t>
            </w:r>
            <w:r w:rsidR="001910E8">
              <w:rPr>
                <w:rFonts w:hint="eastAsia"/>
                <w:color w:val="000000"/>
                <w:spacing w:val="-1"/>
              </w:rPr>
              <w:t>電話番号、</w:t>
            </w:r>
          </w:p>
          <w:p w:rsidR="001910E8" w:rsidRPr="0097419C" w:rsidRDefault="00B86770" w:rsidP="00B86770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FAX</w:t>
            </w:r>
            <w:r w:rsidR="001910E8">
              <w:rPr>
                <w:rFonts w:hint="eastAsia"/>
                <w:color w:val="000000"/>
                <w:spacing w:val="-1"/>
              </w:rPr>
              <w:t>番号、</w:t>
            </w:r>
            <w:r>
              <w:rPr>
                <w:rFonts w:hint="eastAsia"/>
                <w:color w:val="000000"/>
                <w:spacing w:val="-1"/>
              </w:rPr>
              <w:t>〒、</w:t>
            </w:r>
            <w:r w:rsidR="001910E8"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  <w:sz w:val="20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B86770">
              <w:rPr>
                <w:rFonts w:hint="eastAsia"/>
                <w:color w:val="000000"/>
                <w:spacing w:val="-1"/>
              </w:rPr>
              <w:t>〒、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B86770" w:rsidRPr="00B86770">
              <w:rPr>
                <w:rFonts w:hint="eastAsia"/>
                <w:i/>
                <w:color w:val="000000"/>
                <w:spacing w:val="-1"/>
              </w:rPr>
              <w:t>〒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B31B2C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注）本頁は、本文（２頁目以降）の記述要領の説明です。</w:t>
      </w:r>
    </w:p>
    <w:p w:rsidR="00AD58DA" w:rsidRPr="007176DD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7A2A4B" w:rsidRPr="007176DD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B62050" w:rsidRPr="007176DD" w:rsidRDefault="00AD58DA" w:rsidP="00AD58DA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</w:t>
      </w:r>
      <w:r w:rsidR="007A2A4B" w:rsidRPr="007176DD">
        <w:rPr>
          <w:rFonts w:ascii="ＭＳ 明朝" w:hAnsi="ＭＳ 明朝" w:hint="eastAsia"/>
          <w:b/>
          <w:sz w:val="20"/>
        </w:rPr>
        <w:t>また、追加項目があれば</w:t>
      </w:r>
      <w:r w:rsidRPr="007176DD">
        <w:rPr>
          <w:rFonts w:ascii="ＭＳ 明朝" w:hAnsi="ＭＳ 明朝" w:hint="eastAsia"/>
          <w:b/>
          <w:sz w:val="20"/>
        </w:rPr>
        <w:t>、</w:t>
      </w:r>
      <w:r w:rsidR="007A2A4B" w:rsidRPr="007176DD">
        <w:rPr>
          <w:rFonts w:ascii="ＭＳ 明朝" w:hAnsi="ＭＳ 明朝" w:hint="eastAsia"/>
          <w:b/>
          <w:sz w:val="20"/>
        </w:rPr>
        <w:t>追加ください</w:t>
      </w:r>
      <w:r w:rsidRPr="007176DD">
        <w:rPr>
          <w:rFonts w:ascii="ＭＳ 明朝" w:hAnsi="ＭＳ 明朝" w:hint="eastAsia"/>
          <w:b/>
          <w:sz w:val="20"/>
        </w:rPr>
        <w:t>。</w:t>
      </w:r>
    </w:p>
    <w:p w:rsidR="007176DD" w:rsidRDefault="007176DD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</w:t>
      </w:r>
      <w:r w:rsidR="00863E69">
        <w:rPr>
          <w:rFonts w:eastAsiaTheme="majorEastAsia" w:hint="eastAsia"/>
          <w:b/>
          <w:color w:val="000000"/>
          <w:sz w:val="20"/>
        </w:rPr>
        <w:t>い</w:t>
      </w:r>
      <w:r w:rsidR="007176DD" w:rsidRPr="0007377D">
        <w:rPr>
          <w:rFonts w:eastAsiaTheme="majorEastAsia" w:hint="eastAsia"/>
          <w:b/>
          <w:color w:val="000000"/>
          <w:sz w:val="20"/>
        </w:rPr>
        <w:t>。</w:t>
      </w:r>
    </w:p>
    <w:p w:rsidR="00C13248" w:rsidRPr="0007377D" w:rsidRDefault="00C13248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</w:p>
    <w:p w:rsidR="007A2A4B" w:rsidRPr="007176DD" w:rsidRDefault="00C13248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50801</wp:posOffset>
                </wp:positionV>
                <wp:extent cx="10668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1A5" w:rsidRPr="005737B9" w:rsidRDefault="005051A5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.3pt;margin-top:4pt;width:84pt;height:24pt;z-index:251830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" fillcolor="white [3201]" strokeweight="1.5pt">
                <v:textbox>
                  <w:txbxContent>
                    <w:p w:rsidR="005051A5" w:rsidRPr="005737B9" w:rsidRDefault="005051A5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C13248" w:rsidRDefault="00C13248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</w:t>
      </w:r>
      <w:r w:rsidR="00E4118A">
        <w:rPr>
          <w:rFonts w:ascii="ＭＳ ゴシック" w:eastAsia="ＭＳ ゴシック" w:hAnsi="ＭＳ ゴシック" w:hint="eastAsia"/>
          <w:color w:val="000000"/>
        </w:rPr>
        <w:t>て</w:t>
      </w:r>
    </w:p>
    <w:p w:rsidR="00F72659" w:rsidRPr="007176DD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注）</w:t>
      </w:r>
      <w:r w:rsidR="00D90517" w:rsidRPr="007176DD">
        <w:rPr>
          <w:rFonts w:hint="eastAsia"/>
          <w:color w:val="000000"/>
        </w:rPr>
        <w:t>廃棄物の名称、</w:t>
      </w:r>
      <w:r w:rsidR="00F72659" w:rsidRPr="007176DD">
        <w:rPr>
          <w:rFonts w:hint="eastAsia"/>
          <w:color w:val="000000"/>
        </w:rPr>
        <w:t>どこから出る廃棄物か</w:t>
      </w:r>
      <w:r w:rsidR="000278E6" w:rsidRPr="007176DD">
        <w:rPr>
          <w:rFonts w:hint="eastAsia"/>
          <w:color w:val="000000"/>
        </w:rPr>
        <w:t>、</w:t>
      </w:r>
      <w:r w:rsidR="00F72659" w:rsidRPr="007176DD">
        <w:rPr>
          <w:rFonts w:hint="eastAsia"/>
          <w:color w:val="000000"/>
        </w:rPr>
        <w:t>廃棄物の</w:t>
      </w:r>
      <w:r w:rsidR="000278E6" w:rsidRPr="007176DD">
        <w:rPr>
          <w:rFonts w:hint="eastAsia"/>
          <w:color w:val="000000"/>
        </w:rPr>
        <w:t>数量</w:t>
      </w:r>
      <w:r w:rsidR="00D90517" w:rsidRPr="007176DD">
        <w:rPr>
          <w:rFonts w:hint="eastAsia"/>
          <w:color w:val="000000"/>
        </w:rPr>
        <w:t>、形態、特徴</w:t>
      </w:r>
      <w:r w:rsidR="00C22230" w:rsidRPr="007176DD">
        <w:rPr>
          <w:rFonts w:hint="eastAsia"/>
          <w:color w:val="000000"/>
        </w:rPr>
        <w:t>等</w:t>
      </w:r>
      <w:r w:rsidRPr="007176DD">
        <w:rPr>
          <w:rFonts w:hint="eastAsia"/>
          <w:color w:val="000000"/>
        </w:rPr>
        <w:t>（図絵等を用いて記述）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7176DD" w:rsidRDefault="00D90517" w:rsidP="00D90517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</w:p>
    <w:p w:rsidR="00F72659" w:rsidRPr="005737B9" w:rsidRDefault="00FD735E" w:rsidP="007176DD">
      <w:pPr>
        <w:wordWrap w:val="0"/>
        <w:spacing w:line="272" w:lineRule="exact"/>
        <w:ind w:firstLineChars="200" w:firstLine="420"/>
      </w:pPr>
      <w:r w:rsidRPr="005737B9">
        <w:rPr>
          <w:rFonts w:hint="eastAsia"/>
        </w:rPr>
        <w:t>従来一般的に採用されてい</w:t>
      </w:r>
      <w:r w:rsidR="00A72D15" w:rsidRPr="005737B9">
        <w:rPr>
          <w:rFonts w:hint="eastAsia"/>
        </w:rPr>
        <w:t>る</w:t>
      </w:r>
      <w:r w:rsidRPr="005737B9">
        <w:rPr>
          <w:rFonts w:hint="eastAsia"/>
        </w:rPr>
        <w:t>処理・処分・リサイクル方法</w:t>
      </w:r>
      <w:r w:rsidR="007176DD" w:rsidRPr="005737B9">
        <w:rPr>
          <w:rFonts w:ascii="ＭＳ ゴシック" w:eastAsia="ＭＳ ゴシック" w:hint="eastAsia"/>
        </w:rPr>
        <w:t>等</w:t>
      </w:r>
      <w:r w:rsidR="007176DD" w:rsidRPr="005737B9">
        <w:rPr>
          <w:rFonts w:hint="eastAsia"/>
        </w:rPr>
        <w:t>（図絵等を用いて記述）</w:t>
      </w:r>
    </w:p>
    <w:p w:rsidR="007176DD" w:rsidRPr="00BB454B" w:rsidRDefault="007176DD" w:rsidP="007176DD">
      <w:pPr>
        <w:wordWrap w:val="0"/>
        <w:spacing w:line="272" w:lineRule="exact"/>
        <w:ind w:firstLineChars="200" w:firstLine="420"/>
        <w:rPr>
          <w:color w:val="000000"/>
        </w:rPr>
      </w:pPr>
    </w:p>
    <w:p w:rsidR="00B87A0A" w:rsidRPr="00C0592F" w:rsidRDefault="00FD735E">
      <w:pPr>
        <w:wordWrap w:val="0"/>
        <w:spacing w:line="272" w:lineRule="exact"/>
      </w:pPr>
      <w:r w:rsidRPr="00C0592F">
        <w:rPr>
          <w:rFonts w:ascii="ＭＳ ゴシック" w:eastAsia="ＭＳ ゴシック" w:hint="eastAsia"/>
        </w:rPr>
        <w:t>４</w:t>
      </w:r>
      <w:r w:rsidR="00B87A0A" w:rsidRPr="00C0592F">
        <w:rPr>
          <w:rFonts w:ascii="ＭＳ ゴシック" w:eastAsia="ＭＳ ゴシック" w:hint="eastAsia"/>
        </w:rPr>
        <w:t>．リサイクル事業の実施内容</w:t>
      </w:r>
      <w:r w:rsidR="0066535C" w:rsidRPr="00C0592F">
        <w:rPr>
          <w:rFonts w:ascii="ＭＳ ゴシック" w:eastAsia="ＭＳ ゴシック" w:hint="eastAsia"/>
        </w:rPr>
        <w:t>（２社以上の連名の場合は、各社の役割分担が</w:t>
      </w:r>
      <w:r w:rsidR="00E9527A" w:rsidRPr="00C0592F">
        <w:rPr>
          <w:rFonts w:ascii="ＭＳ ゴシック" w:eastAsia="ＭＳ ゴシック" w:hint="eastAsia"/>
        </w:rPr>
        <w:t>判る</w:t>
      </w:r>
      <w:r w:rsidR="0066535C" w:rsidRPr="00C0592F">
        <w:rPr>
          <w:rFonts w:ascii="ＭＳ ゴシック" w:eastAsia="ＭＳ ゴシック" w:hint="eastAsia"/>
        </w:rPr>
        <w:t>ように記述）</w:t>
      </w:r>
    </w:p>
    <w:p w:rsidR="00C13248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</w:p>
    <w:p w:rsidR="00B87A0A" w:rsidRPr="005737B9" w:rsidRDefault="00C13248" w:rsidP="00C13248">
      <w:pPr>
        <w:wordWrap w:val="0"/>
        <w:spacing w:line="272" w:lineRule="exact"/>
        <w:ind w:firstLineChars="300" w:firstLine="630"/>
      </w:pPr>
      <w:r w:rsidRPr="005737B9">
        <w:rPr>
          <w:rFonts w:hint="eastAsia"/>
        </w:rPr>
        <w:t>注）</w:t>
      </w:r>
      <w:r w:rsidR="00FD735E" w:rsidRPr="005737B9">
        <w:rPr>
          <w:rFonts w:hint="eastAsia"/>
        </w:rPr>
        <w:t>フローシート</w:t>
      </w:r>
      <w:r w:rsidRPr="005737B9">
        <w:rPr>
          <w:rFonts w:hint="eastAsia"/>
        </w:rPr>
        <w:t>、図絵</w:t>
      </w:r>
      <w:r w:rsidR="007176DD" w:rsidRPr="005737B9">
        <w:rPr>
          <w:rFonts w:hint="eastAsia"/>
        </w:rPr>
        <w:t>等</w:t>
      </w:r>
      <w:r w:rsidRPr="005737B9">
        <w:rPr>
          <w:rFonts w:hint="eastAsia"/>
        </w:rPr>
        <w:t>を用いて記述</w:t>
      </w:r>
    </w:p>
    <w:p w:rsidR="00B87A0A" w:rsidRPr="00C0592F" w:rsidRDefault="00B87A0A">
      <w:pPr>
        <w:wordWrap w:val="0"/>
        <w:spacing w:line="272" w:lineRule="exact"/>
      </w:pPr>
      <w:r w:rsidRPr="00C0592F">
        <w:rPr>
          <w:rFonts w:hint="eastAsia"/>
        </w:rPr>
        <w:t xml:space="preserve">　</w:t>
      </w:r>
      <w:r w:rsidRPr="00C0592F">
        <w:rPr>
          <w:rFonts w:ascii="ＭＳ 明朝" w:hint="eastAsia"/>
        </w:rPr>
        <w:t>(</w:t>
      </w:r>
      <w:r w:rsidRPr="00C0592F">
        <w:t>2</w:t>
      </w:r>
      <w:r w:rsidRPr="00C0592F">
        <w:rPr>
          <w:rFonts w:ascii="ＭＳ 明朝" w:hint="eastAsia"/>
        </w:rPr>
        <w:t>)</w:t>
      </w:r>
      <w:r w:rsidR="00AE120D" w:rsidRPr="00C0592F">
        <w:rPr>
          <w:rFonts w:ascii="ＭＳ 明朝" w:hint="eastAsia"/>
        </w:rPr>
        <w:t xml:space="preserve"> </w:t>
      </w:r>
      <w:r w:rsidRPr="00C0592F">
        <w:rPr>
          <w:rFonts w:hint="eastAsia"/>
        </w:rPr>
        <w:t>リサイクル製品の生産量</w:t>
      </w:r>
      <w:r w:rsidR="004E654E" w:rsidRPr="00C0592F">
        <w:rPr>
          <w:rFonts w:hint="eastAsia"/>
        </w:rPr>
        <w:t>、販売量、販売額等の</w:t>
      </w:r>
      <w:r w:rsidRPr="00C0592F">
        <w:rPr>
          <w:rFonts w:hint="eastAsia"/>
        </w:rPr>
        <w:t>推移</w:t>
      </w:r>
      <w:r w:rsidR="00FD735E" w:rsidRPr="00C0592F">
        <w:rPr>
          <w:rFonts w:hint="eastAsia"/>
        </w:rPr>
        <w:t>（平成</w:t>
      </w:r>
      <w:r w:rsidR="00173A4A" w:rsidRPr="00C71905">
        <w:rPr>
          <w:rFonts w:hint="eastAsia"/>
        </w:rPr>
        <w:t>２</w:t>
      </w:r>
      <w:r w:rsidR="00D775F4" w:rsidRPr="00C71905">
        <w:rPr>
          <w:rFonts w:hint="eastAsia"/>
        </w:rPr>
        <w:t>７</w:t>
      </w:r>
      <w:r w:rsidR="00FD735E" w:rsidRPr="00C71905">
        <w:rPr>
          <w:rFonts w:hint="eastAsia"/>
        </w:rPr>
        <w:t>～</w:t>
      </w:r>
      <w:r w:rsidR="00D775F4" w:rsidRPr="00C71905">
        <w:rPr>
          <w:rFonts w:hint="eastAsia"/>
        </w:rPr>
        <w:t>令和元</w:t>
      </w:r>
      <w:r w:rsidR="001851F7" w:rsidRPr="00C0592F">
        <w:rPr>
          <w:rFonts w:hint="eastAsia"/>
        </w:rPr>
        <w:t>年</w:t>
      </w:r>
      <w:r w:rsidR="00FD735E" w:rsidRPr="00C0592F">
        <w:rPr>
          <w:rFonts w:hint="eastAsia"/>
        </w:rPr>
        <w:t>）</w:t>
      </w:r>
    </w:p>
    <w:p w:rsidR="00E30D97" w:rsidRPr="005737B9" w:rsidRDefault="00B87A0A">
      <w:pPr>
        <w:wordWrap w:val="0"/>
        <w:spacing w:line="272" w:lineRule="exact"/>
        <w:rPr>
          <w:rFonts w:eastAsiaTheme="minorEastAsia"/>
        </w:rPr>
      </w:pPr>
      <w:r w:rsidRPr="005737B9">
        <w:rPr>
          <w:rFonts w:hint="eastAsia"/>
        </w:rPr>
        <w:t xml:space="preserve">　</w:t>
      </w:r>
      <w:r w:rsidRPr="005737B9">
        <w:rPr>
          <w:rFonts w:ascii="ＭＳ 明朝" w:eastAsiaTheme="minorEastAsia" w:hint="eastAsia"/>
        </w:rPr>
        <w:t>(</w:t>
      </w:r>
      <w:r w:rsidRPr="005737B9">
        <w:rPr>
          <w:rFonts w:eastAsiaTheme="minorEastAsia"/>
        </w:rPr>
        <w:t>3</w:t>
      </w:r>
      <w:r w:rsidRPr="005737B9">
        <w:rPr>
          <w:rFonts w:ascii="ＭＳ 明朝" w:eastAsiaTheme="minorEastAsia" w:hint="eastAsia"/>
        </w:rPr>
        <w:t>)</w:t>
      </w:r>
      <w:r w:rsidR="00AE120D" w:rsidRPr="005737B9">
        <w:rPr>
          <w:rFonts w:ascii="ＭＳ 明朝" w:eastAsiaTheme="minorEastAsia" w:hint="eastAsia"/>
        </w:rPr>
        <w:t xml:space="preserve"> </w:t>
      </w:r>
      <w:r w:rsidR="009837BE" w:rsidRPr="005737B9">
        <w:rPr>
          <w:rFonts w:eastAsiaTheme="minorEastAsia" w:hint="eastAsia"/>
        </w:rPr>
        <w:t>技術</w:t>
      </w:r>
      <w:r w:rsidR="00D43E67" w:rsidRPr="005737B9">
        <w:rPr>
          <w:rFonts w:eastAsiaTheme="minorEastAsia" w:hint="eastAsia"/>
        </w:rPr>
        <w:t>・システム</w:t>
      </w:r>
      <w:r w:rsidRPr="005737B9">
        <w:rPr>
          <w:rFonts w:eastAsiaTheme="minorEastAsia" w:hint="eastAsia"/>
        </w:rPr>
        <w:t>の</w:t>
      </w:r>
      <w:r w:rsidR="00155ED5" w:rsidRPr="005737B9">
        <w:rPr>
          <w:rFonts w:eastAsiaTheme="minorEastAsia" w:hint="eastAsia"/>
        </w:rPr>
        <w:t>ポイント</w:t>
      </w:r>
      <w:r w:rsidR="00814DAA" w:rsidRPr="005737B9">
        <w:rPr>
          <w:rFonts w:eastAsiaTheme="minorEastAsia" w:hint="eastAsia"/>
        </w:rPr>
        <w:t>、</w:t>
      </w:r>
      <w:r w:rsidRPr="005737B9">
        <w:rPr>
          <w:rFonts w:eastAsiaTheme="minorEastAsia" w:hint="eastAsia"/>
        </w:rPr>
        <w:t>新規性、</w:t>
      </w:r>
      <w:r w:rsidR="00E30D97" w:rsidRPr="005737B9">
        <w:rPr>
          <w:rFonts w:eastAsiaTheme="minorEastAsia" w:hint="eastAsia"/>
        </w:rPr>
        <w:t>改善点、</w:t>
      </w:r>
      <w:r w:rsidRPr="005737B9">
        <w:rPr>
          <w:rFonts w:eastAsiaTheme="minorEastAsia" w:hint="eastAsia"/>
        </w:rPr>
        <w:t>同種事業との相違点</w:t>
      </w:r>
    </w:p>
    <w:p w:rsidR="005A3CA8" w:rsidRPr="005737B9" w:rsidRDefault="00C13248" w:rsidP="00C13248">
      <w:pPr>
        <w:wordWrap w:val="0"/>
        <w:spacing w:line="272" w:lineRule="exact"/>
        <w:ind w:firstLineChars="300" w:firstLine="63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Pr="005737B9">
        <w:rPr>
          <w:rFonts w:eastAsiaTheme="minorEastAsia" w:hint="eastAsia"/>
        </w:rPr>
        <w:t xml:space="preserve">図絵等を用いて記述　</w:t>
      </w:r>
      <w:r w:rsidRPr="005737B9">
        <w:rPr>
          <w:rFonts w:eastAsiaTheme="majorEastAsia" w:hint="eastAsia"/>
          <w:b/>
        </w:rPr>
        <w:t>⇒</w:t>
      </w:r>
      <w:r w:rsidRPr="005737B9">
        <w:rPr>
          <w:rFonts w:eastAsiaTheme="minorEastAsia" w:hint="eastAsia"/>
        </w:rPr>
        <w:t xml:space="preserve">　</w:t>
      </w:r>
      <w:r w:rsidR="00E30D97" w:rsidRPr="005737B9">
        <w:rPr>
          <w:rFonts w:eastAsiaTheme="majorEastAsia" w:hint="eastAsia"/>
          <w:b/>
        </w:rPr>
        <w:t>重要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</w:t>
      </w:r>
      <w:r w:rsidR="003E2211">
        <w:rPr>
          <w:rFonts w:hint="eastAsia"/>
        </w:rPr>
        <w:t>長</w:t>
      </w:r>
      <w:r w:rsidR="009F22F7" w:rsidRPr="007B22D8">
        <w:rPr>
          <w:rFonts w:hint="eastAsia"/>
        </w:rPr>
        <w:t>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557674" w:rsidRDefault="00B87A0A" w:rsidP="00396432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B516AE" w:rsidRDefault="00B516AE" w:rsidP="000403CD">
      <w:pPr>
        <w:rPr>
          <w:color w:val="000000"/>
        </w:rPr>
      </w:pPr>
    </w:p>
    <w:sectPr w:rsidR="00B516AE" w:rsidSect="005051A5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620" w:rsidRDefault="00D21620">
      <w:r>
        <w:separator/>
      </w:r>
    </w:p>
  </w:endnote>
  <w:endnote w:type="continuationSeparator" w:id="0">
    <w:p w:rsidR="00D21620" w:rsidRDefault="00D2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A5" w:rsidRDefault="005051A5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432">
      <w:rPr>
        <w:rStyle w:val="a6"/>
        <w:rFonts w:hint="eastAsia"/>
        <w:noProof/>
      </w:rPr>
      <w:t>１０</w:t>
    </w:r>
    <w:r>
      <w:rPr>
        <w:rStyle w:val="a6"/>
      </w:rPr>
      <w:fldChar w:fldCharType="end"/>
    </w:r>
  </w:p>
  <w:p w:rsidR="005051A5" w:rsidRDefault="005051A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1A5" w:rsidRDefault="005051A5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6432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5051A5" w:rsidRDefault="005051A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620" w:rsidRDefault="00D21620">
      <w:r>
        <w:separator/>
      </w:r>
    </w:p>
  </w:footnote>
  <w:footnote w:type="continuationSeparator" w:id="0">
    <w:p w:rsidR="00D21620" w:rsidRDefault="00D2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96432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0256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51A5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1905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21620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F71B9-0C95-4C7B-87EC-BAD55F13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1849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2020-01-08T04:56:00Z</dcterms:created>
  <dcterms:modified xsi:type="dcterms:W3CDTF">2020-01-08T04:56:00Z</dcterms:modified>
</cp:coreProperties>
</file>